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sercva6la2i8" w:id="0"/>
      <w:bookmarkEnd w:id="0"/>
      <w:r w:rsidDel="00000000" w:rsidR="00000000" w:rsidRPr="00000000">
        <w:rPr>
          <w:rtl w:val="0"/>
        </w:rPr>
        <w:t xml:space="preserve">Medication Management Note Page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1. What is polypharmacy?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2. What are two common conditions of aging that make it difficult to manage medication usage?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3. What percentage of geriatric patients who take five or more medications experience an adverse drug reaction? ___________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4. Geriatric patients over the age of 65 have a ________ times greater chance of being hospitalized for a medication mishap than those under age 65.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5. Symptoms of polypharmacy may include: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6. The U.S. Center for Medicare and Medicaid Services estimates the annual cost of polypharmacy to be over $_____________________________.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Write down one strategy that could be used to help geriatric patients in each section.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770"/>
        <w:gridCol w:w="7590"/>
        <w:tblGridChange w:id="0">
          <w:tblGrid>
            <w:gridCol w:w="1770"/>
            <w:gridCol w:w="7590"/>
          </w:tblGrid>
        </w:tblGridChange>
      </w:tblGrid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Strategies for Assisting with Geriatric Medication Management</w:t>
            </w:r>
          </w:p>
        </w:tc>
      </w:tr>
      <w:tr>
        <w:trPr>
          <w:trHeight w:val="1440" w:hRule="atLeast"/>
        </w:trP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Medication Reconciliation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Medication Procurement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Medication Knowledge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Physical Ability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Cognitive Capacity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Intentional Nonadherence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Ongoing Monitoring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